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>268 комбінованого типу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>089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>Франтішека Крала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>59-А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1878B7" w:rsidRPr="001878B7">
        <w:rPr>
          <w:rFonts w:ascii="Times New Roman" w:eastAsia="Times New Roman" w:hAnsi="Times New Roman"/>
          <w:sz w:val="28"/>
          <w:szCs w:val="28"/>
          <w:lang w:eastAsia="ru-RU"/>
        </w:rPr>
        <w:t>UA-2021-08-04-002396-a</w:t>
      </w:r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781786">
        <w:rPr>
          <w:rFonts w:ascii="Times New Roman" w:hAnsi="Times New Roman"/>
          <w:sz w:val="28"/>
          <w:szCs w:val="28"/>
        </w:rPr>
        <w:t>8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1878B7">
        <w:rPr>
          <w:rFonts w:ascii="Times New Roman" w:hAnsi="Times New Roman"/>
          <w:sz w:val="28"/>
          <w:szCs w:val="28"/>
        </w:rPr>
        <w:t>268 комбінованого типу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1878B7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1878B7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878B7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AAD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68</cp:revision>
  <cp:lastPrinted>2021-03-22T13:14:00Z</cp:lastPrinted>
  <dcterms:created xsi:type="dcterms:W3CDTF">2021-03-17T12:08:00Z</dcterms:created>
  <dcterms:modified xsi:type="dcterms:W3CDTF">2021-08-06T06:47:00Z</dcterms:modified>
</cp:coreProperties>
</file>